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431B21" w:rsidRPr="000D294B" w:rsidTr="006539DE">
        <w:trPr>
          <w:trHeight w:val="539"/>
        </w:trPr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D294B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D294B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Default="00431B21" w:rsidP="006539D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16D66">
              <w:rPr>
                <w:b/>
                <w:color w:val="FF0000"/>
                <w:sz w:val="36"/>
                <w:szCs w:val="36"/>
              </w:rPr>
              <w:t>5.3 Регистрация установления отцовства</w:t>
            </w:r>
          </w:p>
          <w:p w:rsidR="00431B21" w:rsidRPr="00916D66" w:rsidRDefault="00431B21" w:rsidP="006539D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tbl>
            <w:tblPr>
              <w:tblW w:w="11075" w:type="dxa"/>
              <w:tblLayout w:type="fixed"/>
              <w:tblLook w:val="01E0" w:firstRow="1" w:lastRow="1" w:firstColumn="1" w:lastColumn="1" w:noHBand="0" w:noVBand="0"/>
            </w:tblPr>
            <w:tblGrid>
              <w:gridCol w:w="11075"/>
            </w:tblGrid>
            <w:tr w:rsidR="00431B21" w:rsidRPr="000D294B" w:rsidTr="006539DE">
              <w:tc>
                <w:tcPr>
                  <w:tcW w:w="11075" w:type="dxa"/>
                  <w:shd w:val="clear" w:color="auto" w:fill="D9D9D9"/>
                </w:tcPr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31B21" w:rsidRPr="000D294B" w:rsidTr="006539DE">
              <w:trPr>
                <w:trHeight w:val="10489"/>
              </w:trPr>
              <w:tc>
                <w:tcPr>
                  <w:tcW w:w="11075" w:type="dxa"/>
                </w:tcPr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3F555A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3F555A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>Петрова Галина Владимировна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>г. Новополоцк ул. Молодёжная, д. 155, кабинет № 3, телефон 8 (0214) 50 74 44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>На период отсутствия главного специалиста Петровой Галины Валерьевны приём граждан осуществляют специалисты, которые взаимозаменяемы: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3F555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3F555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3F555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431B21" w:rsidRDefault="003F555A" w:rsidP="003F555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3F555A" w:rsidRDefault="003F555A" w:rsidP="003F555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регистрация установления отцовства  через представителя не допускается</w:t>
                  </w:r>
                  <w:proofErr w:type="gram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!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!!</w:t>
                  </w:r>
                </w:p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116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0"/>
                    <w:gridCol w:w="7920"/>
                  </w:tblGrid>
                  <w:tr w:rsidR="00431B21" w:rsidRPr="000D294B" w:rsidTr="006539DE">
                    <w:tc>
                      <w:tcPr>
                        <w:tcW w:w="11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20"/>
                          <w:gridCol w:w="6485"/>
                        </w:tblGrid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1C1E9B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C1E9B">
                                <w:rPr>
                                  <w:b/>
                                  <w:sz w:val="28"/>
                                  <w:szCs w:val="28"/>
                                </w:rPr>
      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Орган загса по месту жительства одного из родителей ребенка, или по месту вынесения решения суда об установлении отцовства, или по месту регистрации рождения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Форма подачи заявления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Письменная 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Документы и (или)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сведения, предоставляемые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гражданином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для осуществления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административной</w:t>
                              </w:r>
                            </w:p>
                            <w:p w:rsidR="00431B21" w:rsidRPr="000D294B" w:rsidRDefault="00431B21" w:rsidP="006539DE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совместное заявление родителей об установлении отцовства либо заявление о регистрации установления отцовства на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основании решения суда об установлении отцовства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паспорта или иные документы, удостоверяющие личность заявителей (заявителя)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свидетельство о рождении ребенка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 – в случае, если регистрация рождения ребенка была произведена ранее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письменное согласие совершеннолетнего лица, в отношении которого производится регистрация установления отцовства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, – в случае регистрации установления отцовства в отношении лица, достигшего совершеннолетия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копия решение суда об установлении отцовства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 – в случае регистрации установления отцовства по решению суда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Документы и (или) сведения, запрашиваемые ответственным исполнителем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14526" w:rsidRPr="00414526" w:rsidRDefault="0041452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 xml:space="preserve">копии </w:t>
                              </w:r>
                              <w:hyperlink r:id="rId5" w:anchor="a6" w:tooltip="+" w:history="1">
                                <w:r w:rsidRPr="00414526"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записей</w:t>
                                </w:r>
                              </w:hyperlink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      </w:r>
                            </w:p>
                            <w:p w:rsidR="00414526" w:rsidRPr="00414526" w:rsidRDefault="0041452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>иные сведения и (или) документы, которые могут быть получены от других государственных органов, иных организаций.</w:t>
                              </w:r>
                            </w:p>
                            <w:p w:rsidR="00414526" w:rsidRPr="00414526" w:rsidRDefault="005C6134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6" w:anchor="a7" w:tooltip="+" w:history="1">
                                <w:r w:rsidR="00414526" w:rsidRPr="00414526"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Свидетельства</w:t>
                                </w:r>
                              </w:hyperlink>
                              <w:r w:rsidR="00414526" w:rsidRPr="00414526">
                                <w:rPr>
                                  <w:sz w:val="28"/>
                                  <w:szCs w:val="28"/>
                                </w:rPr>
      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Максимальный срок осуществления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- 2 дня 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со дня подачи заявления,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торжественной регистрации рождения и регистрации установления отцовства 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3 дня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регистрации рождения, установления отцовства и заключения брака 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заключения брака,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подаче совместного заявления до рождения ребенка 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рождения ребенка, 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а в случае запроса сведений и (или) документов от 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 xml:space="preserve">других государственных органов, иных организаций 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1 месяц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D3484B" w:rsidRDefault="00431B21" w:rsidP="006539DE">
                              <w:pPr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48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 xml:space="preserve">Порядок представления гражданами документов 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A73868" w:rsidRDefault="00431B21" w:rsidP="006539DE">
                              <w:pPr>
                                <w:ind w:right="5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73868">
                                <w:rPr>
                                  <w:sz w:val="28"/>
                                  <w:szCs w:val="28"/>
                                </w:rPr>
                                <w:t>Документы представляются гражданами лично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Размер платы, взимаемой </w:t>
                              </w:r>
                            </w:p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бесплатно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бессрочно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31B21" w:rsidRPr="000D294B" w:rsidRDefault="00431B21" w:rsidP="006539D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431B21" w:rsidRPr="000D294B" w:rsidTr="006539DE">
                    <w:tc>
                      <w:tcPr>
                        <w:tcW w:w="3240" w:type="dxa"/>
                      </w:tcPr>
                      <w:p w:rsidR="00431B21" w:rsidRPr="000D294B" w:rsidRDefault="00431B21" w:rsidP="006539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0" w:type="dxa"/>
                      </w:tcPr>
                      <w:p w:rsidR="00431B21" w:rsidRPr="000D294B" w:rsidRDefault="00431B21" w:rsidP="006539D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431B21" w:rsidRPr="000D294B" w:rsidRDefault="00431B21" w:rsidP="006539D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31B21" w:rsidRPr="000D294B" w:rsidRDefault="00431B21" w:rsidP="00431B21">
      <w:pPr>
        <w:spacing w:line="276" w:lineRule="auto"/>
        <w:ind w:firstLine="709"/>
        <w:jc w:val="both"/>
        <w:rPr>
          <w:sz w:val="28"/>
          <w:szCs w:val="28"/>
        </w:rPr>
      </w:pPr>
    </w:p>
    <w:p w:rsidR="00F31806" w:rsidRDefault="00F31806"/>
    <w:sectPr w:rsidR="00F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21"/>
    <w:rsid w:val="000005B1"/>
    <w:rsid w:val="001C1E9B"/>
    <w:rsid w:val="003F555A"/>
    <w:rsid w:val="00414526"/>
    <w:rsid w:val="00431B21"/>
    <w:rsid w:val="0044235F"/>
    <w:rsid w:val="005C6134"/>
    <w:rsid w:val="00BF7F1B"/>
    <w:rsid w:val="00F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1B2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14526"/>
    <w:rPr>
      <w:color w:val="0000FF"/>
      <w:u w:val="single"/>
    </w:rPr>
  </w:style>
  <w:style w:type="paragraph" w:customStyle="1" w:styleId="newncpi">
    <w:name w:val="newncpi"/>
    <w:basedOn w:val="a"/>
    <w:rsid w:val="00414526"/>
    <w:pPr>
      <w:spacing w:before="160" w:after="160"/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1B2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14526"/>
    <w:rPr>
      <w:color w:val="0000FF"/>
      <w:u w:val="single"/>
    </w:rPr>
  </w:style>
  <w:style w:type="paragraph" w:customStyle="1" w:styleId="newncpi">
    <w:name w:val="newncpi"/>
    <w:basedOn w:val="a"/>
    <w:rsid w:val="00414526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2024-05-21T14:19:00Z</dcterms:created>
  <dcterms:modified xsi:type="dcterms:W3CDTF">2024-05-21T14:19:00Z</dcterms:modified>
</cp:coreProperties>
</file>