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13641B" w:rsidRPr="009629F3" w:rsidTr="00750A6D">
        <w:tc>
          <w:tcPr>
            <w:tcW w:w="11160" w:type="dxa"/>
            <w:gridSpan w:val="2"/>
          </w:tcPr>
          <w:p w:rsidR="0013641B" w:rsidRPr="009629F3" w:rsidRDefault="0013641B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13641B" w:rsidTr="00750A6D">
        <w:tc>
          <w:tcPr>
            <w:tcW w:w="11160" w:type="dxa"/>
            <w:gridSpan w:val="2"/>
          </w:tcPr>
          <w:p w:rsidR="0013641B" w:rsidRDefault="0013641B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13641B" w:rsidRPr="009629F3" w:rsidTr="00750A6D">
        <w:tc>
          <w:tcPr>
            <w:tcW w:w="11160" w:type="dxa"/>
            <w:gridSpan w:val="2"/>
          </w:tcPr>
          <w:p w:rsidR="0013641B" w:rsidRPr="00FA0242" w:rsidRDefault="0013641B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.11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Восстановление записей актов гражданского состояния</w:t>
            </w:r>
          </w:p>
        </w:tc>
      </w:tr>
      <w:tr w:rsidR="0013641B" w:rsidRPr="001F38BE" w:rsidTr="00750A6D">
        <w:tc>
          <w:tcPr>
            <w:tcW w:w="11160" w:type="dxa"/>
            <w:gridSpan w:val="2"/>
          </w:tcPr>
          <w:p w:rsidR="0013641B" w:rsidRPr="001F38BE" w:rsidRDefault="0013641B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13641B" w:rsidRPr="001F38BE" w:rsidTr="00750A6D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13641B" w:rsidRPr="00F118F2" w:rsidTr="00750A6D">
              <w:tc>
                <w:tcPr>
                  <w:tcW w:w="10605" w:type="dxa"/>
                  <w:shd w:val="clear" w:color="auto" w:fill="D9D9D9"/>
                </w:tcPr>
                <w:p w:rsidR="0013641B" w:rsidRPr="00F118F2" w:rsidRDefault="0013641B" w:rsidP="00750A6D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13641B" w:rsidRPr="00F118F2" w:rsidRDefault="0013641B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>в результате осуществления административной процедуры</w:t>
                  </w:r>
                </w:p>
              </w:tc>
            </w:tr>
          </w:tbl>
          <w:p w:rsidR="0013641B" w:rsidRPr="00F118F2" w:rsidRDefault="0013641B" w:rsidP="00750A6D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3641B" w:rsidRPr="001F38BE" w:rsidTr="00750A6D">
        <w:tc>
          <w:tcPr>
            <w:tcW w:w="11160" w:type="dxa"/>
            <w:gridSpan w:val="2"/>
          </w:tcPr>
          <w:p w:rsidR="00D260E9" w:rsidRDefault="00D260E9" w:rsidP="00D260E9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</w:p>
          <w:p w:rsidR="00D260E9" w:rsidRPr="00D260E9" w:rsidRDefault="00D260E9" w:rsidP="00D260E9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</w:rPr>
            </w:pPr>
            <w:r w:rsidRPr="00D260E9">
              <w:rPr>
                <w:b/>
                <w:sz w:val="28"/>
                <w:szCs w:val="28"/>
              </w:rPr>
              <w:t xml:space="preserve">Начальник отдела загса </w:t>
            </w:r>
            <w:proofErr w:type="spellStart"/>
            <w:r w:rsidRPr="00D260E9">
              <w:rPr>
                <w:b/>
                <w:sz w:val="28"/>
                <w:szCs w:val="28"/>
              </w:rPr>
              <w:t>Новополоцкого</w:t>
            </w:r>
            <w:proofErr w:type="spellEnd"/>
            <w:r w:rsidRPr="00D260E9">
              <w:rPr>
                <w:b/>
                <w:sz w:val="28"/>
                <w:szCs w:val="28"/>
              </w:rPr>
              <w:t xml:space="preserve"> горисполкома</w:t>
            </w:r>
          </w:p>
          <w:p w:rsidR="00D260E9" w:rsidRPr="00D260E9" w:rsidRDefault="00D260E9" w:rsidP="00D260E9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</w:rPr>
            </w:pPr>
            <w:r w:rsidRPr="00D260E9">
              <w:rPr>
                <w:b/>
                <w:sz w:val="28"/>
                <w:szCs w:val="28"/>
              </w:rPr>
              <w:t>Егорова Наталья Васильевна</w:t>
            </w:r>
          </w:p>
          <w:p w:rsidR="00D260E9" w:rsidRPr="00D260E9" w:rsidRDefault="00D260E9" w:rsidP="00D260E9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  <w:r w:rsidRPr="00D260E9">
              <w:rPr>
                <w:b/>
                <w:sz w:val="28"/>
                <w:szCs w:val="28"/>
              </w:rPr>
              <w:t>г. Новополоцк ул. Молодёжная, д.155, кабинет № 5, телефон 8 (0214) 50 780 16</w:t>
            </w:r>
          </w:p>
          <w:p w:rsidR="00D260E9" w:rsidRPr="00D260E9" w:rsidRDefault="00D260E9" w:rsidP="00D260E9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</w:p>
          <w:p w:rsidR="00D260E9" w:rsidRPr="00D260E9" w:rsidRDefault="00D260E9" w:rsidP="00D260E9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  <w:r w:rsidRPr="00D260E9">
              <w:rPr>
                <w:sz w:val="28"/>
                <w:szCs w:val="28"/>
              </w:rPr>
              <w:t>на период отсутствия начальника отдела загса – Егоровой Натальи Васильевны приём граждан осуществляют специалисты, которые взаимозаменяемы:</w:t>
            </w:r>
          </w:p>
          <w:p w:rsidR="00D260E9" w:rsidRPr="00D260E9" w:rsidRDefault="00D260E9" w:rsidP="00D260E9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  <w:r w:rsidRPr="00D260E9">
              <w:rPr>
                <w:sz w:val="28"/>
                <w:szCs w:val="28"/>
              </w:rPr>
              <w:t xml:space="preserve">ПЕТРОВА ГАЛИНА ВАЛЕРЬЕВНА, главный специалист отдела загс </w:t>
            </w:r>
            <w:proofErr w:type="spellStart"/>
            <w:r w:rsidRPr="00D260E9">
              <w:rPr>
                <w:sz w:val="28"/>
                <w:szCs w:val="28"/>
              </w:rPr>
              <w:t>Новополоцкого</w:t>
            </w:r>
            <w:proofErr w:type="spellEnd"/>
            <w:r w:rsidRPr="00D260E9">
              <w:rPr>
                <w:sz w:val="28"/>
                <w:szCs w:val="28"/>
              </w:rPr>
              <w:t xml:space="preserve"> горисполкома,</w:t>
            </w:r>
          </w:p>
          <w:p w:rsidR="00D260E9" w:rsidRPr="00D260E9" w:rsidRDefault="00D260E9" w:rsidP="00D260E9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  <w:r w:rsidRPr="00D260E9">
              <w:rPr>
                <w:sz w:val="28"/>
                <w:szCs w:val="28"/>
              </w:rPr>
              <w:t>ул. Молодёжная, 155, кабинет №3, тел. 50-74-44</w:t>
            </w:r>
          </w:p>
          <w:p w:rsidR="00D260E9" w:rsidRPr="00D260E9" w:rsidRDefault="00D260E9" w:rsidP="00D260E9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  <w:r w:rsidRPr="00D260E9">
              <w:rPr>
                <w:sz w:val="28"/>
                <w:szCs w:val="28"/>
              </w:rPr>
              <w:t xml:space="preserve">МАКУЦЕВИЧ ТАТЬЯНА ВЛАДИМИРОВНА, главный специалист отдела загс </w:t>
            </w:r>
            <w:proofErr w:type="spellStart"/>
            <w:r w:rsidRPr="00D260E9">
              <w:rPr>
                <w:sz w:val="28"/>
                <w:szCs w:val="28"/>
              </w:rPr>
              <w:t>Новополоцкого</w:t>
            </w:r>
            <w:proofErr w:type="spellEnd"/>
          </w:p>
          <w:p w:rsidR="00D260E9" w:rsidRPr="00D260E9" w:rsidRDefault="00D260E9" w:rsidP="00D260E9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  <w:r w:rsidRPr="00D260E9">
              <w:rPr>
                <w:sz w:val="28"/>
                <w:szCs w:val="28"/>
              </w:rPr>
              <w:t>горисполкома, ул. Молодёжная, 155, кабинет №2, тел. 50-74-44</w:t>
            </w:r>
          </w:p>
          <w:p w:rsidR="00D260E9" w:rsidRPr="00D260E9" w:rsidRDefault="00D260E9" w:rsidP="00D260E9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</w:p>
          <w:p w:rsidR="0013641B" w:rsidRPr="00D260E9" w:rsidRDefault="00D260E9" w:rsidP="00D260E9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</w:rPr>
            </w:pPr>
            <w:r w:rsidRPr="00D260E9">
              <w:rPr>
                <w:b/>
                <w:sz w:val="28"/>
                <w:szCs w:val="28"/>
              </w:rPr>
              <w:t>Время работы: вторник с 8.00 до 13.00, с 14.00 до 18.00, среда-пятница с 8.00 до 13.00, с 14.00 до 17.00, суббота с 9.00 до 17.00, выходные дни – воскресенье, понедельник</w:t>
            </w:r>
          </w:p>
          <w:p w:rsidR="0013641B" w:rsidRDefault="0013641B" w:rsidP="00750A6D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F118F2">
              <w:rPr>
                <w:b/>
                <w:sz w:val="28"/>
                <w:szCs w:val="28"/>
                <w:u w:val="single"/>
              </w:rPr>
              <w:t xml:space="preserve"> </w:t>
            </w:r>
          </w:p>
          <w:tbl>
            <w:tblPr>
              <w:tblW w:w="0" w:type="auto"/>
              <w:tblInd w:w="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4"/>
              <w:gridCol w:w="6108"/>
            </w:tblGrid>
            <w:tr w:rsidR="0013641B" w:rsidTr="00750A6D">
              <w:trPr>
                <w:trHeight w:val="332"/>
              </w:trPr>
              <w:tc>
                <w:tcPr>
                  <w:tcW w:w="4004" w:type="dxa"/>
                </w:tcPr>
                <w:p w:rsidR="0013641B" w:rsidRDefault="00F43C06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F43C06">
                    <w:rPr>
                      <w:b/>
                      <w:sz w:val="28"/>
                      <w:szCs w:val="28"/>
                    </w:rPr>
      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      </w:r>
                </w:p>
              </w:tc>
              <w:tc>
                <w:tcPr>
                  <w:tcW w:w="6108" w:type="dxa"/>
                </w:tcPr>
                <w:p w:rsidR="0013641B" w:rsidRDefault="0013641B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 загса по месту составления  утраченной записи акта  гражданского состояния.</w:t>
                  </w:r>
                </w:p>
                <w:p w:rsidR="0013641B" w:rsidRDefault="0013641B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</w:p>
                <w:p w:rsidR="0013641B" w:rsidRDefault="0013641B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случае, если утраченная запись акта гражданского состояния была составлена  за пределами Республики Беларусь, восстановление записи акта гражданского состояния  может </w:t>
                  </w:r>
                  <w:proofErr w:type="gramStart"/>
                  <w:r>
                    <w:rPr>
                      <w:sz w:val="28"/>
                      <w:szCs w:val="28"/>
                    </w:rPr>
                    <w:t>производится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органом загса на основании решения суда по месту вынесения судом  данного решения.</w:t>
                  </w:r>
                </w:p>
              </w:tc>
            </w:tr>
            <w:tr w:rsidR="0013641B" w:rsidTr="00750A6D">
              <w:trPr>
                <w:trHeight w:val="332"/>
              </w:trPr>
              <w:tc>
                <w:tcPr>
                  <w:tcW w:w="4004" w:type="dxa"/>
                </w:tcPr>
                <w:p w:rsidR="0013641B" w:rsidRDefault="0013641B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Форма подачи заявления</w:t>
                  </w:r>
                </w:p>
              </w:tc>
              <w:tc>
                <w:tcPr>
                  <w:tcW w:w="6108" w:type="dxa"/>
                </w:tcPr>
                <w:p w:rsidR="0013641B" w:rsidRDefault="0013641B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Письменная </w:t>
                  </w:r>
                </w:p>
              </w:tc>
            </w:tr>
            <w:tr w:rsidR="0013641B" w:rsidTr="00750A6D">
              <w:trPr>
                <w:trHeight w:val="332"/>
              </w:trPr>
              <w:tc>
                <w:tcPr>
                  <w:tcW w:w="4004" w:type="dxa"/>
                </w:tcPr>
                <w:p w:rsidR="0013641B" w:rsidRPr="004B5A81" w:rsidRDefault="0013641B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Документы и (или)</w:t>
                  </w:r>
                </w:p>
                <w:p w:rsidR="0013641B" w:rsidRPr="004B5A81" w:rsidRDefault="0013641B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сведения, предоставляемые</w:t>
                  </w:r>
                </w:p>
                <w:p w:rsidR="0013641B" w:rsidRPr="004B5A81" w:rsidRDefault="0013641B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гражданином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B5A81">
                    <w:rPr>
                      <w:b/>
                      <w:sz w:val="28"/>
                      <w:szCs w:val="28"/>
                    </w:rPr>
                    <w:t>для осуществления</w:t>
                  </w:r>
                </w:p>
                <w:p w:rsidR="0013641B" w:rsidRPr="004B5A81" w:rsidRDefault="0013641B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административной</w:t>
                  </w:r>
                </w:p>
                <w:p w:rsidR="0013641B" w:rsidRDefault="0013641B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процедуры</w:t>
                  </w:r>
                </w:p>
              </w:tc>
              <w:tc>
                <w:tcPr>
                  <w:tcW w:w="6108" w:type="dxa"/>
                </w:tcPr>
                <w:p w:rsidR="0013641B" w:rsidRDefault="0013641B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7F56D4">
                    <w:rPr>
                      <w:sz w:val="28"/>
                      <w:szCs w:val="28"/>
                    </w:rPr>
                    <w:t xml:space="preserve">- </w:t>
                  </w:r>
                  <w:r w:rsidRPr="0070210D">
                    <w:rPr>
                      <w:b/>
                      <w:sz w:val="28"/>
                      <w:szCs w:val="28"/>
                    </w:rPr>
                    <w:t>заявление</w:t>
                  </w:r>
                  <w:r w:rsidRPr="007F56D4">
                    <w:rPr>
                      <w:sz w:val="28"/>
                      <w:szCs w:val="28"/>
                    </w:rPr>
                    <w:br/>
                    <w:t xml:space="preserve">- </w:t>
                  </w:r>
                  <w:r w:rsidRPr="0070210D">
                    <w:rPr>
                      <w:b/>
                      <w:sz w:val="28"/>
                      <w:szCs w:val="28"/>
                    </w:rPr>
                    <w:t>паспорт или иной документ, удостоверяющий личность</w:t>
                  </w:r>
                  <w:r w:rsidRPr="007F56D4">
                    <w:rPr>
                      <w:sz w:val="28"/>
                      <w:szCs w:val="28"/>
                    </w:rPr>
                    <w:br/>
                    <w:t xml:space="preserve">- </w:t>
                  </w:r>
                  <w:r w:rsidRPr="0070210D">
                    <w:rPr>
                      <w:b/>
                      <w:sz w:val="28"/>
                      <w:szCs w:val="28"/>
                    </w:rPr>
                    <w:t>копия решения суда об установлении факта регистрации акта гражданского состояния</w:t>
                  </w:r>
                  <w:r w:rsidRPr="007F56D4">
                    <w:rPr>
                      <w:sz w:val="28"/>
                      <w:szCs w:val="28"/>
                    </w:rPr>
                    <w:br/>
                    <w:t xml:space="preserve">- </w:t>
                  </w:r>
                  <w:r w:rsidRPr="0070210D">
                    <w:rPr>
                      <w:b/>
                      <w:sz w:val="28"/>
                      <w:szCs w:val="28"/>
                    </w:rPr>
                    <w:t>документ, подтверждающий внесение платы</w:t>
                  </w:r>
                </w:p>
              </w:tc>
            </w:tr>
            <w:tr w:rsidR="0013641B" w:rsidTr="00750A6D">
              <w:trPr>
                <w:trHeight w:val="332"/>
              </w:trPr>
              <w:tc>
                <w:tcPr>
                  <w:tcW w:w="4004" w:type="dxa"/>
                </w:tcPr>
                <w:p w:rsidR="0013641B" w:rsidRDefault="0013641B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 xml:space="preserve">Максимальный срок осуществления </w:t>
                  </w:r>
                  <w:r w:rsidRPr="004B5A81">
                    <w:rPr>
                      <w:b/>
                      <w:sz w:val="28"/>
                      <w:szCs w:val="28"/>
                    </w:rPr>
                    <w:lastRenderedPageBreak/>
                    <w:t>административной процедуры</w:t>
                  </w:r>
                </w:p>
              </w:tc>
              <w:tc>
                <w:tcPr>
                  <w:tcW w:w="6108" w:type="dxa"/>
                </w:tcPr>
                <w:p w:rsidR="0013641B" w:rsidRDefault="0013641B" w:rsidP="00750A6D">
                  <w:pPr>
                    <w:pStyle w:val="table10"/>
                    <w:spacing w:line="280" w:lineRule="exact"/>
                    <w:rPr>
                      <w:b/>
                      <w:sz w:val="28"/>
                      <w:szCs w:val="28"/>
                    </w:rPr>
                  </w:pPr>
                </w:p>
                <w:p w:rsidR="0013641B" w:rsidRPr="00972D94" w:rsidRDefault="0013641B" w:rsidP="00750A6D">
                  <w:pPr>
                    <w:pStyle w:val="table10"/>
                    <w:spacing w:line="280" w:lineRule="exact"/>
                    <w:rPr>
                      <w:b/>
                      <w:sz w:val="28"/>
                      <w:szCs w:val="28"/>
                    </w:rPr>
                  </w:pPr>
                  <w:r w:rsidRPr="00972D94">
                    <w:rPr>
                      <w:b/>
                      <w:sz w:val="28"/>
                      <w:szCs w:val="28"/>
                    </w:rPr>
                    <w:t>10 дней со дня подачи заявления</w:t>
                  </w:r>
                </w:p>
                <w:p w:rsidR="0013641B" w:rsidRDefault="0013641B" w:rsidP="00750A6D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13641B" w:rsidTr="00750A6D">
              <w:trPr>
                <w:trHeight w:val="332"/>
              </w:trPr>
              <w:tc>
                <w:tcPr>
                  <w:tcW w:w="4004" w:type="dxa"/>
                </w:tcPr>
                <w:p w:rsidR="0013641B" w:rsidRDefault="0013641B" w:rsidP="00750A6D">
                  <w:pPr>
                    <w:shd w:val="clear" w:color="auto" w:fill="FFFFFF"/>
                    <w:spacing w:line="280" w:lineRule="exact"/>
                    <w:ind w:left="15" w:right="-108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lastRenderedPageBreak/>
                    <w:t>Размер платы, взимаемой при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B5A81">
                    <w:rPr>
                      <w:b/>
                      <w:sz w:val="28"/>
                      <w:szCs w:val="28"/>
                    </w:rPr>
                    <w:t>осуществлении административной процедуры</w:t>
                  </w:r>
                </w:p>
              </w:tc>
              <w:tc>
                <w:tcPr>
                  <w:tcW w:w="6108" w:type="dxa"/>
                </w:tcPr>
                <w:p w:rsidR="0013641B" w:rsidRDefault="0013641B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140F2">
                    <w:rPr>
                      <w:b/>
                      <w:sz w:val="28"/>
                      <w:szCs w:val="28"/>
                    </w:rPr>
                    <w:t>1 базовая величина</w:t>
                  </w:r>
                </w:p>
                <w:p w:rsidR="0013641B" w:rsidRPr="00992412" w:rsidRDefault="0013641B" w:rsidP="00750A6D">
                  <w:pPr>
                    <w:pStyle w:val="table10"/>
                    <w:rPr>
                      <w:i/>
                      <w:sz w:val="30"/>
                      <w:szCs w:val="30"/>
                    </w:rPr>
                  </w:pPr>
                  <w:r w:rsidRPr="00992412">
                    <w:rPr>
                      <w:i/>
                      <w:sz w:val="30"/>
                      <w:szCs w:val="30"/>
                    </w:rPr>
                    <w:t>(платежные реквизиты</w:t>
                  </w:r>
                  <w:r>
                    <w:rPr>
                      <w:i/>
                      <w:sz w:val="30"/>
                      <w:szCs w:val="30"/>
                    </w:rPr>
                    <w:t>:</w:t>
                  </w:r>
                  <w:r w:rsidRPr="00992412">
                    <w:rPr>
                      <w:i/>
                      <w:sz w:val="30"/>
                      <w:szCs w:val="30"/>
                    </w:rPr>
                    <w:t xml:space="preserve"> код платежа 03002</w:t>
                  </w:r>
                </w:p>
                <w:p w:rsidR="00D260E9" w:rsidRPr="00D260E9" w:rsidRDefault="00D260E9" w:rsidP="00D260E9">
                  <w:pPr>
                    <w:spacing w:line="300" w:lineRule="exact"/>
                    <w:rPr>
                      <w:i/>
                      <w:sz w:val="30"/>
                      <w:szCs w:val="30"/>
                    </w:rPr>
                  </w:pPr>
                  <w:r w:rsidRPr="00D260E9">
                    <w:rPr>
                      <w:i/>
                      <w:sz w:val="30"/>
                      <w:szCs w:val="30"/>
                    </w:rPr>
                    <w:t xml:space="preserve">Оплатить государственную пошлину можно в ближайшем отделении ОАО «БПС-Банк» (дополнительный офис №202 Новополоцк Региональной дирекции №200 по Витебской области, расположенный по адресу: </w:t>
                  </w:r>
                  <w:proofErr w:type="spellStart"/>
                  <w:r w:rsidRPr="00D260E9">
                    <w:rPr>
                      <w:i/>
                      <w:sz w:val="30"/>
                      <w:szCs w:val="30"/>
                    </w:rPr>
                    <w:t>г.Новополоцк</w:t>
                  </w:r>
                  <w:proofErr w:type="spellEnd"/>
                  <w:r w:rsidRPr="00D260E9">
                    <w:rPr>
                      <w:i/>
                      <w:sz w:val="30"/>
                      <w:szCs w:val="30"/>
                    </w:rPr>
                    <w:t xml:space="preserve">, ул.Молодежная,137. Режим работы: </w:t>
                  </w:r>
                  <w:proofErr w:type="spellStart"/>
                  <w:r w:rsidRPr="00D260E9">
                    <w:rPr>
                      <w:i/>
                      <w:sz w:val="30"/>
                      <w:szCs w:val="30"/>
                    </w:rPr>
                    <w:t>Пн-Пт</w:t>
                  </w:r>
                  <w:proofErr w:type="spellEnd"/>
                  <w:r w:rsidRPr="00D260E9">
                    <w:rPr>
                      <w:i/>
                      <w:sz w:val="30"/>
                      <w:szCs w:val="30"/>
                    </w:rPr>
                    <w:t xml:space="preserve">: 09.00-19.00; </w:t>
                  </w:r>
                  <w:proofErr w:type="spellStart"/>
                  <w:r w:rsidRPr="00D260E9">
                    <w:rPr>
                      <w:i/>
                      <w:sz w:val="30"/>
                      <w:szCs w:val="30"/>
                    </w:rPr>
                    <w:t>Сб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: 10.00-14.00;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Вс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>: выходной).</w:t>
                  </w:r>
                </w:p>
                <w:p w:rsidR="00D260E9" w:rsidRPr="00D260E9" w:rsidRDefault="00D260E9" w:rsidP="00D260E9">
                  <w:pPr>
                    <w:spacing w:line="300" w:lineRule="exact"/>
                    <w:rPr>
                      <w:i/>
                      <w:sz w:val="30"/>
                      <w:szCs w:val="30"/>
                    </w:rPr>
                  </w:pPr>
                  <w:r w:rsidRPr="00D260E9">
                    <w:rPr>
                      <w:i/>
                      <w:sz w:val="30"/>
                      <w:szCs w:val="30"/>
                    </w:rPr>
                    <w:t>Государственная пошлина оплачивается и перечисляется на счёт Главного управления Министерства финансов Республики Беларусь по Витебской области, банк получателя: ОАО "</w:t>
                  </w:r>
                  <w:proofErr w:type="spellStart"/>
                  <w:r w:rsidRPr="00D260E9">
                    <w:rPr>
                      <w:i/>
                      <w:sz w:val="30"/>
                      <w:szCs w:val="30"/>
                    </w:rPr>
                    <w:t>Беларусбанк</w:t>
                  </w:r>
                  <w:proofErr w:type="spellEnd"/>
                  <w:r w:rsidRPr="00D260E9">
                    <w:rPr>
                      <w:i/>
                      <w:sz w:val="30"/>
                      <w:szCs w:val="30"/>
                    </w:rPr>
                    <w:t xml:space="preserve">" </w:t>
                  </w:r>
                  <w:proofErr w:type="spellStart"/>
                  <w:r w:rsidRPr="00D260E9">
                    <w:rPr>
                      <w:i/>
                      <w:sz w:val="30"/>
                      <w:szCs w:val="30"/>
                    </w:rPr>
                    <w:t>г.Минск</w:t>
                  </w:r>
                  <w:proofErr w:type="spellEnd"/>
                  <w:r w:rsidRPr="00D260E9">
                    <w:rPr>
                      <w:i/>
                      <w:sz w:val="30"/>
                      <w:szCs w:val="30"/>
                    </w:rPr>
                    <w:t>, код банка AKBBBY2X, УНП 300594330, р/с BY78AKBB360030300</w:t>
                  </w:r>
                  <w:r>
                    <w:rPr>
                      <w:i/>
                      <w:sz w:val="30"/>
                      <w:szCs w:val="30"/>
                    </w:rPr>
                    <w:t>00150000000, код платежа 03002.</w:t>
                  </w:r>
                </w:p>
                <w:p w:rsidR="0013641B" w:rsidRDefault="00D260E9" w:rsidP="00D260E9">
                  <w:pPr>
                    <w:spacing w:line="300" w:lineRule="exact"/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D260E9">
                    <w:rPr>
                      <w:i/>
                      <w:sz w:val="30"/>
                      <w:szCs w:val="30"/>
                    </w:rPr>
                    <w:t>Оплату производить в банке (в отдел загс необходимо предъявить квитанцию) или в ЕРИП.</w:t>
                  </w:r>
                </w:p>
              </w:tc>
            </w:tr>
            <w:tr w:rsidR="0013641B" w:rsidTr="00750A6D">
              <w:trPr>
                <w:trHeight w:val="332"/>
              </w:trPr>
              <w:tc>
                <w:tcPr>
                  <w:tcW w:w="4004" w:type="dxa"/>
                </w:tcPr>
                <w:p w:rsidR="0013641B" w:rsidRDefault="0013641B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Срок действия справки, другого документа (решения), выдаваемых (принимаемого) при осуществлении административной процедуры</w:t>
                  </w:r>
                </w:p>
              </w:tc>
              <w:tc>
                <w:tcPr>
                  <w:tcW w:w="6108" w:type="dxa"/>
                </w:tcPr>
                <w:p w:rsidR="0013641B" w:rsidRDefault="0013641B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13641B" w:rsidRDefault="0013641B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13641B" w:rsidRDefault="0013641B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13641B" w:rsidRPr="00972D94" w:rsidRDefault="0013641B" w:rsidP="00750A6D">
                  <w:pPr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 w:rsidRPr="00972D94">
                    <w:rPr>
                      <w:b/>
                      <w:sz w:val="28"/>
                      <w:szCs w:val="28"/>
                    </w:rPr>
                    <w:t>бессрочно</w:t>
                  </w:r>
                </w:p>
              </w:tc>
            </w:tr>
          </w:tbl>
          <w:p w:rsidR="0013641B" w:rsidRPr="00F118F2" w:rsidRDefault="0013641B" w:rsidP="00750A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3641B" w:rsidRPr="004B5A81" w:rsidTr="00750A6D">
        <w:tc>
          <w:tcPr>
            <w:tcW w:w="3240" w:type="dxa"/>
          </w:tcPr>
          <w:p w:rsidR="0013641B" w:rsidRPr="004B5A81" w:rsidRDefault="0013641B" w:rsidP="00750A6D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13641B" w:rsidRPr="007F56D4" w:rsidRDefault="0013641B" w:rsidP="00750A6D">
            <w:pPr>
              <w:rPr>
                <w:sz w:val="28"/>
                <w:szCs w:val="28"/>
              </w:rPr>
            </w:pPr>
          </w:p>
        </w:tc>
      </w:tr>
      <w:tr w:rsidR="0013641B" w:rsidRPr="004B5A81" w:rsidTr="00750A6D">
        <w:tc>
          <w:tcPr>
            <w:tcW w:w="11160" w:type="dxa"/>
            <w:gridSpan w:val="2"/>
          </w:tcPr>
          <w:p w:rsidR="0013641B" w:rsidRPr="00D606AD" w:rsidRDefault="0013641B" w:rsidP="00750A6D">
            <w:pPr>
              <w:jc w:val="both"/>
              <w:rPr>
                <w:sz w:val="16"/>
                <w:szCs w:val="16"/>
              </w:rPr>
            </w:pPr>
          </w:p>
        </w:tc>
      </w:tr>
    </w:tbl>
    <w:p w:rsidR="0013641B" w:rsidRDefault="0013641B" w:rsidP="0013641B"/>
    <w:p w:rsidR="003B2AE2" w:rsidRDefault="003B2AE2"/>
    <w:sectPr w:rsidR="003B2AE2" w:rsidSect="0070210D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1B"/>
    <w:rsid w:val="0013641B"/>
    <w:rsid w:val="003B2AE2"/>
    <w:rsid w:val="00722294"/>
    <w:rsid w:val="00BE3D10"/>
    <w:rsid w:val="00C91B29"/>
    <w:rsid w:val="00D21B92"/>
    <w:rsid w:val="00D260E9"/>
    <w:rsid w:val="00F4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13641B"/>
    <w:rPr>
      <w:sz w:val="20"/>
      <w:szCs w:val="20"/>
    </w:rPr>
  </w:style>
  <w:style w:type="paragraph" w:customStyle="1" w:styleId="newncpi">
    <w:name w:val="newncpi"/>
    <w:basedOn w:val="a"/>
    <w:rsid w:val="0013641B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13641B"/>
    <w:rPr>
      <w:sz w:val="20"/>
      <w:szCs w:val="20"/>
    </w:rPr>
  </w:style>
  <w:style w:type="paragraph" w:customStyle="1" w:styleId="newncpi">
    <w:name w:val="newncpi"/>
    <w:basedOn w:val="a"/>
    <w:rsid w:val="0013641B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2</cp:revision>
  <dcterms:created xsi:type="dcterms:W3CDTF">2024-05-21T14:23:00Z</dcterms:created>
  <dcterms:modified xsi:type="dcterms:W3CDTF">2024-05-21T14:23:00Z</dcterms:modified>
</cp:coreProperties>
</file>